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01B50" w14:textId="4ACBE86C" w:rsidR="001F3D7C" w:rsidRDefault="00B710BF" w:rsidP="007C2CC3">
      <w:pPr>
        <w:pStyle w:val="Corpodetexto"/>
        <w:spacing w:before="303"/>
        <w:ind w:left="696" w:firstLine="24"/>
        <w:jc w:val="center"/>
      </w:pPr>
      <w:r>
        <w:rPr>
          <w:spacing w:val="-2"/>
        </w:rPr>
        <w:t xml:space="preserve">ANEXO II – MODELO DE </w:t>
      </w:r>
      <w:r w:rsidR="00445F86">
        <w:rPr>
          <w:spacing w:val="-2"/>
        </w:rPr>
        <w:t>PROPOSTA</w:t>
      </w:r>
    </w:p>
    <w:p w14:paraId="06E48FBA" w14:textId="77777777" w:rsidR="001F3D7C" w:rsidRDefault="001F3D7C">
      <w:pPr>
        <w:pStyle w:val="Corpodetexto"/>
        <w:rPr>
          <w:sz w:val="20"/>
        </w:rPr>
      </w:pPr>
    </w:p>
    <w:p w14:paraId="096A86E0" w14:textId="77777777" w:rsidR="001F3D7C" w:rsidRDefault="001F3D7C">
      <w:pPr>
        <w:pStyle w:val="Corpodetexto"/>
        <w:rPr>
          <w:sz w:val="20"/>
        </w:rPr>
      </w:pPr>
    </w:p>
    <w:p w14:paraId="6F439E8D" w14:textId="384CCF42" w:rsidR="00B710BF" w:rsidRDefault="00B710BF">
      <w:pPr>
        <w:pStyle w:val="Corpodetexto"/>
        <w:spacing w:before="168"/>
        <w:rPr>
          <w:sz w:val="20"/>
        </w:rPr>
      </w:pPr>
      <w:r>
        <w:rPr>
          <w:sz w:val="20"/>
        </w:rPr>
        <w:t>REF.: PREGÃO 90305/2025 – CAMPUS CUBATÃO – IFSP</w:t>
      </w:r>
      <w:bookmarkStart w:id="0" w:name="_GoBack"/>
      <w:bookmarkEnd w:id="0"/>
    </w:p>
    <w:p w14:paraId="22D9DA7A" w14:textId="77777777" w:rsidR="00B710BF" w:rsidRDefault="00B710BF">
      <w:pPr>
        <w:pStyle w:val="Corpodetexto"/>
        <w:spacing w:before="168"/>
        <w:rPr>
          <w:sz w:val="20"/>
        </w:rPr>
      </w:pPr>
    </w:p>
    <w:tbl>
      <w:tblPr>
        <w:tblStyle w:val="TableNormal"/>
        <w:tblW w:w="9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489"/>
      </w:tblGrid>
      <w:tr w:rsidR="001F3D7C" w14:paraId="6E26AC10" w14:textId="77777777" w:rsidTr="005D6B92">
        <w:trPr>
          <w:trHeight w:val="440"/>
        </w:trPr>
        <w:tc>
          <w:tcPr>
            <w:tcW w:w="9639" w:type="dxa"/>
            <w:gridSpan w:val="2"/>
          </w:tcPr>
          <w:p w14:paraId="5B693517" w14:textId="77777777" w:rsidR="001F3D7C" w:rsidRDefault="00445F86">
            <w:pPr>
              <w:pStyle w:val="TableParagraph"/>
              <w:spacing w:before="11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Empresa</w:t>
            </w:r>
          </w:p>
        </w:tc>
      </w:tr>
      <w:tr w:rsidR="001F3D7C" w14:paraId="2249E0DC" w14:textId="77777777" w:rsidTr="005D6B92">
        <w:trPr>
          <w:trHeight w:val="439"/>
        </w:trPr>
        <w:tc>
          <w:tcPr>
            <w:tcW w:w="2150" w:type="dxa"/>
          </w:tcPr>
          <w:p w14:paraId="5CA3D38D" w14:textId="77777777" w:rsidR="001F3D7C" w:rsidRDefault="00445F86">
            <w:pPr>
              <w:pStyle w:val="TableParagraph"/>
              <w:spacing w:before="111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  <w:tc>
          <w:tcPr>
            <w:tcW w:w="7489" w:type="dxa"/>
          </w:tcPr>
          <w:p w14:paraId="13F7BE3D" w14:textId="77777777" w:rsidR="001F3D7C" w:rsidRDefault="001F3D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3D7C" w14:paraId="15F06081" w14:textId="77777777" w:rsidTr="005D6B92">
        <w:trPr>
          <w:trHeight w:val="439"/>
        </w:trPr>
        <w:tc>
          <w:tcPr>
            <w:tcW w:w="2150" w:type="dxa"/>
          </w:tcPr>
          <w:p w14:paraId="07442254" w14:textId="77777777" w:rsidR="001F3D7C" w:rsidRDefault="00445F86">
            <w:pPr>
              <w:pStyle w:val="TableParagraph"/>
              <w:spacing w:before="106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CNPJ:</w:t>
            </w:r>
          </w:p>
        </w:tc>
        <w:tc>
          <w:tcPr>
            <w:tcW w:w="7489" w:type="dxa"/>
          </w:tcPr>
          <w:p w14:paraId="5BE5B227" w14:textId="77777777" w:rsidR="001F3D7C" w:rsidRDefault="001F3D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3D7C" w14:paraId="3F4963CE" w14:textId="77777777" w:rsidTr="005D6B92">
        <w:trPr>
          <w:trHeight w:val="420"/>
        </w:trPr>
        <w:tc>
          <w:tcPr>
            <w:tcW w:w="2150" w:type="dxa"/>
          </w:tcPr>
          <w:p w14:paraId="41B302A4" w14:textId="77777777" w:rsidR="001F3D7C" w:rsidRDefault="00445F86">
            <w:pPr>
              <w:pStyle w:val="TableParagraph"/>
              <w:spacing w:before="101"/>
              <w:ind w:left="95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completo:</w:t>
            </w:r>
          </w:p>
        </w:tc>
        <w:tc>
          <w:tcPr>
            <w:tcW w:w="7489" w:type="dxa"/>
          </w:tcPr>
          <w:p w14:paraId="0B7915E3" w14:textId="77777777" w:rsidR="001F3D7C" w:rsidRDefault="001F3D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3D7C" w14:paraId="58F4ADDB" w14:textId="77777777" w:rsidTr="005D6B92">
        <w:trPr>
          <w:trHeight w:val="440"/>
        </w:trPr>
        <w:tc>
          <w:tcPr>
            <w:tcW w:w="2150" w:type="dxa"/>
          </w:tcPr>
          <w:p w14:paraId="7D86B478" w14:textId="77777777" w:rsidR="001F3D7C" w:rsidRDefault="00445F86">
            <w:pPr>
              <w:pStyle w:val="TableParagraph"/>
              <w:spacing w:before="116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  <w:tc>
          <w:tcPr>
            <w:tcW w:w="7489" w:type="dxa"/>
          </w:tcPr>
          <w:p w14:paraId="33C6493E" w14:textId="77777777" w:rsidR="001F3D7C" w:rsidRDefault="001F3D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3D7C" w14:paraId="70CEFE94" w14:textId="77777777" w:rsidTr="005D6B92">
        <w:trPr>
          <w:trHeight w:val="439"/>
        </w:trPr>
        <w:tc>
          <w:tcPr>
            <w:tcW w:w="2150" w:type="dxa"/>
          </w:tcPr>
          <w:p w14:paraId="3DBE9EB3" w14:textId="77777777" w:rsidR="001F3D7C" w:rsidRDefault="00445F86">
            <w:pPr>
              <w:pStyle w:val="TableParagraph"/>
              <w:spacing w:before="111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7489" w:type="dxa"/>
          </w:tcPr>
          <w:p w14:paraId="54DB0155" w14:textId="77777777" w:rsidR="001F3D7C" w:rsidRDefault="001F3D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CC3" w14:paraId="17840B78" w14:textId="77777777" w:rsidTr="005D6B92">
        <w:trPr>
          <w:trHeight w:val="439"/>
        </w:trPr>
        <w:tc>
          <w:tcPr>
            <w:tcW w:w="2150" w:type="dxa"/>
          </w:tcPr>
          <w:p w14:paraId="500978C3" w14:textId="77777777" w:rsidR="007C2CC3" w:rsidRDefault="007C2CC3">
            <w:pPr>
              <w:pStyle w:val="TableParagraph"/>
              <w:spacing w:before="111"/>
              <w:ind w:left="9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Validade</w:t>
            </w:r>
            <w:r w:rsidR="002265C6">
              <w:rPr>
                <w:spacing w:val="-2"/>
                <w:sz w:val="20"/>
              </w:rPr>
              <w:t xml:space="preserve"> da proposta:</w:t>
            </w:r>
          </w:p>
        </w:tc>
        <w:tc>
          <w:tcPr>
            <w:tcW w:w="7489" w:type="dxa"/>
          </w:tcPr>
          <w:p w14:paraId="166ABA91" w14:textId="77777777" w:rsidR="007C2CC3" w:rsidRDefault="007C2C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</w:tbl>
    <w:p w14:paraId="3FB8B650" w14:textId="77777777" w:rsidR="001F3D7C" w:rsidRDefault="001F3D7C">
      <w:pPr>
        <w:pStyle w:val="Corpodetexto"/>
        <w:rPr>
          <w:sz w:val="20"/>
        </w:rPr>
      </w:pPr>
    </w:p>
    <w:p w14:paraId="2C36EBFD" w14:textId="77777777" w:rsidR="005D6B92" w:rsidRDefault="005D6B92">
      <w:pPr>
        <w:pStyle w:val="Corpodetexto"/>
        <w:rPr>
          <w:sz w:val="20"/>
        </w:rPr>
      </w:pPr>
    </w:p>
    <w:p w14:paraId="520802FB" w14:textId="77777777" w:rsidR="005D6B92" w:rsidRDefault="005D6B92">
      <w:pPr>
        <w:pStyle w:val="Corpodetexto"/>
        <w:rPr>
          <w:sz w:val="20"/>
        </w:rPr>
      </w:pPr>
    </w:p>
    <w:tbl>
      <w:tblPr>
        <w:tblW w:w="975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984"/>
        <w:gridCol w:w="1134"/>
        <w:gridCol w:w="1418"/>
        <w:gridCol w:w="1276"/>
        <w:gridCol w:w="1275"/>
        <w:gridCol w:w="1134"/>
      </w:tblGrid>
      <w:tr w:rsidR="005D6B92" w:rsidRPr="00266D6D" w14:paraId="60AA552C" w14:textId="77777777" w:rsidTr="004B1438">
        <w:trPr>
          <w:trHeight w:hRule="exact" w:val="851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72842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D6D">
              <w:rPr>
                <w:rFonts w:ascii="Arial" w:hAnsi="Arial"/>
                <w:b/>
                <w:sz w:val="20"/>
              </w:rPr>
              <w:t>ITEM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033FC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Arial" w:hAnsi="Arial" w:cs="Arial"/>
                <w:sz w:val="20"/>
                <w:szCs w:val="20"/>
              </w:rPr>
            </w:pPr>
            <w:r w:rsidRPr="00266D6D">
              <w:rPr>
                <w:rFonts w:ascii="Arial" w:hAnsi="Arial"/>
                <w:b/>
                <w:sz w:val="20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71360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Arial" w:hAnsi="Arial" w:cs="Arial"/>
                <w:sz w:val="20"/>
                <w:szCs w:val="20"/>
              </w:rPr>
            </w:pPr>
            <w:r w:rsidRPr="00266D6D">
              <w:rPr>
                <w:rFonts w:ascii="Arial" w:hAnsi="Arial" w:cs="Arial"/>
                <w:b/>
                <w:bCs/>
                <w:sz w:val="20"/>
                <w:szCs w:val="20"/>
              </w:rPr>
              <w:t>CATMAT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F38FF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Arial" w:hAnsi="Arial" w:cs="Arial"/>
                <w:sz w:val="20"/>
                <w:szCs w:val="20"/>
              </w:rPr>
            </w:pPr>
            <w:r w:rsidRPr="00266D6D">
              <w:rPr>
                <w:rFonts w:ascii="Arial" w:hAnsi="Arial"/>
                <w:b/>
                <w:sz w:val="20"/>
              </w:rPr>
              <w:t>UNIDADE DE MEDIDA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A5080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6D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F0B5F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6D"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449A6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6D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5D6B92" w:rsidRPr="00266D6D" w14:paraId="62B5D342" w14:textId="77777777" w:rsidTr="004B1438">
        <w:trPr>
          <w:trHeight w:hRule="exact" w:val="2528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25A18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jc w:val="center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70DC7" w14:textId="77777777" w:rsidR="005D6B92" w:rsidRPr="00266D6D" w:rsidRDefault="005D6B92" w:rsidP="003308EC">
            <w:pPr>
              <w:adjustRightInd w:val="0"/>
              <w:rPr>
                <w:rFonts w:ascii="Rawline-Regular" w:hAnsi="Rawline-Regular" w:cs="Rawline-Regular"/>
                <w:b/>
                <w:bCs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b/>
                <w:bCs/>
                <w:sz w:val="15"/>
                <w:szCs w:val="15"/>
              </w:rPr>
              <w:t>Tinta Artística</w:t>
            </w:r>
          </w:p>
          <w:p w14:paraId="4BF87AF0" w14:textId="77777777" w:rsidR="005D6B92" w:rsidRPr="00266D6D" w:rsidRDefault="005D6B92" w:rsidP="003308EC">
            <w:pPr>
              <w:adjustRightInd w:val="0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Composição: A Base De Resina Acrílica,</w:t>
            </w:r>
          </w:p>
          <w:p w14:paraId="169120DB" w14:textId="77777777" w:rsidR="005D6B92" w:rsidRPr="00266D6D" w:rsidRDefault="005D6B92" w:rsidP="003308EC">
            <w:pPr>
              <w:adjustRightInd w:val="0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Tipo: Secagem Rápida, Aplicação: Metal, Apresentação: Spray,</w:t>
            </w:r>
          </w:p>
          <w:p w14:paraId="58A638F7" w14:textId="77777777" w:rsidR="005D6B92" w:rsidRPr="00266D6D" w:rsidRDefault="005D6B92" w:rsidP="003308EC">
            <w:pPr>
              <w:adjustRightInd w:val="0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Características Adicionais: Acetona Com Pigmentos Metálicos, Jato Direto.</w:t>
            </w:r>
          </w:p>
          <w:p w14:paraId="7BE4398A" w14:textId="77777777" w:rsidR="005D6B92" w:rsidRPr="00266D6D" w:rsidRDefault="005D6B92" w:rsidP="003308EC">
            <w:pPr>
              <w:adjustRightInd w:val="0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Tinta spray similar ou de melhor qualidade à marca Colorgin Arte Urbana.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04CDA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605768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152CA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Frasco 400 Mililitro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1D225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350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7A937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3594F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</w:p>
        </w:tc>
      </w:tr>
      <w:tr w:rsidR="005D6B92" w:rsidRPr="00266D6D" w14:paraId="7EAB8C63" w14:textId="77777777" w:rsidTr="004B1438">
        <w:trPr>
          <w:trHeight w:hRule="exact" w:val="1125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68794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jc w:val="center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C3B98" w14:textId="77777777" w:rsidR="005D6B92" w:rsidRPr="00266D6D" w:rsidRDefault="005D6B92" w:rsidP="003308EC">
            <w:pPr>
              <w:adjustRightInd w:val="0"/>
              <w:rPr>
                <w:rFonts w:ascii="Rawline-Regular" w:hAnsi="Rawline-Regular" w:cs="Rawline-Regular"/>
                <w:b/>
                <w:bCs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b/>
                <w:bCs/>
                <w:sz w:val="15"/>
                <w:szCs w:val="15"/>
              </w:rPr>
              <w:t>Verniz</w:t>
            </w:r>
          </w:p>
          <w:p w14:paraId="5BC6EF63" w14:textId="77777777" w:rsidR="005D6B92" w:rsidRPr="00266D6D" w:rsidRDefault="005D6B92" w:rsidP="003308EC">
            <w:pPr>
              <w:adjustRightInd w:val="0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Tipo: Marítimo, Cor: Incolor, Características Adicionais: Duplo Filtro Solar, Aplicação: Metal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A9982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376741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FFA53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Galão 3,6 Litro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323C8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0A380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D1215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</w:p>
        </w:tc>
      </w:tr>
      <w:tr w:rsidR="005D6B92" w:rsidRPr="00266D6D" w14:paraId="5D3387BB" w14:textId="77777777" w:rsidTr="004B1438">
        <w:trPr>
          <w:trHeight w:hRule="exact" w:val="1696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5AD3A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jc w:val="center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335E8" w14:textId="77777777" w:rsidR="005D6B92" w:rsidRPr="00266D6D" w:rsidRDefault="005D6B92" w:rsidP="003308EC">
            <w:pPr>
              <w:adjustRightInd w:val="0"/>
              <w:rPr>
                <w:rFonts w:ascii="Rawline-Regular" w:hAnsi="Rawline-Regular" w:cs="Rawline-Regular"/>
                <w:b/>
                <w:bCs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b/>
                <w:bCs/>
                <w:sz w:val="15"/>
                <w:szCs w:val="15"/>
              </w:rPr>
              <w:t xml:space="preserve">Tripé </w:t>
            </w:r>
          </w:p>
          <w:p w14:paraId="4177C2B9" w14:textId="77777777" w:rsidR="005D6B92" w:rsidRPr="00266D6D" w:rsidRDefault="005D6B92" w:rsidP="003308EC">
            <w:pPr>
              <w:adjustRightInd w:val="0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Material: Alumínio, Altura Máxima: 1,80 M, Peso: 1,3 KG, Tipo Cabeça: Giratória 360º, Aplicação: Câmara Fotográfica Ou Filmadora, Quantidade Hastes: 3, Capacidade Cabeça: 15 KG, Altura Mínima: 83 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0AF3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487702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EDAA8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7125C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81728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D3B29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</w:p>
        </w:tc>
      </w:tr>
      <w:tr w:rsidR="005D6B92" w:rsidRPr="00266D6D" w14:paraId="7CCAF558" w14:textId="77777777" w:rsidTr="004B1438">
        <w:trPr>
          <w:trHeight w:hRule="exact" w:val="2556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B0A18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jc w:val="center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F098A" w14:textId="77777777" w:rsidR="005D6B92" w:rsidRPr="00266D6D" w:rsidRDefault="005D6B92" w:rsidP="003308EC">
            <w:pPr>
              <w:adjustRightInd w:val="0"/>
              <w:rPr>
                <w:rFonts w:ascii="Rawline-Regular" w:hAnsi="Rawline-Regular" w:cs="Rawline-Regular"/>
                <w:b/>
                <w:bCs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b/>
                <w:bCs/>
                <w:sz w:val="15"/>
                <w:szCs w:val="15"/>
              </w:rPr>
              <w:t>Iluminador Para Filmagem</w:t>
            </w:r>
          </w:p>
          <w:p w14:paraId="104DF6A3" w14:textId="77777777" w:rsidR="005D6B92" w:rsidRPr="00266D6D" w:rsidRDefault="005D6B92" w:rsidP="003308EC">
            <w:pPr>
              <w:adjustRightInd w:val="0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Tipo: Iluminador Led, Modelo: U800, painel de led 2.240 leds, Suporte Acessórios: Com Sapata articulado, Diâmetro: 10 POL, Potência: 50 W, Aplicação: Suporte Tipo Tripé altura 2 m. Temperatura da cor: bicolor 3200k a 6500k, fonte bivolt 15V, 4A, 1,5 m.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B764D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600317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62C75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45F18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0E65A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1BADF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</w:p>
        </w:tc>
      </w:tr>
      <w:tr w:rsidR="005D6B92" w:rsidRPr="00266D6D" w14:paraId="71024376" w14:textId="77777777" w:rsidTr="004B1438">
        <w:trPr>
          <w:trHeight w:hRule="exact" w:val="6383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263C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jc w:val="center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E899C" w14:textId="77777777" w:rsidR="005D6B92" w:rsidRPr="00266D6D" w:rsidRDefault="005D6B92" w:rsidP="003308EC">
            <w:pPr>
              <w:adjustRightInd w:val="0"/>
              <w:rPr>
                <w:rFonts w:ascii="Rawline-Regular" w:hAnsi="Rawline-Regular" w:cs="Rawline-Regular"/>
                <w:b/>
                <w:bCs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b/>
                <w:bCs/>
                <w:sz w:val="15"/>
                <w:szCs w:val="15"/>
              </w:rPr>
              <w:t xml:space="preserve">Cortina </w:t>
            </w:r>
          </w:p>
          <w:p w14:paraId="4A022041" w14:textId="77777777" w:rsidR="005D6B92" w:rsidRPr="00266D6D" w:rsidRDefault="005D6B92" w:rsidP="003308EC">
            <w:pPr>
              <w:jc w:val="both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Material: Tecido Suede; Largura: 3,00 M; Altura Mínima: 2,50 M; Cor: Azul Escuro; Equipada com ilhoses para sustentação no varão, confeccionados em material plástico de alta resistência e durabilidade, preferencialmente pintados em tons neutros e/ou pastéis, adequado para instalação em varões de 28mm de espessura; acabamento em costura resistente e de boa qualidade; Característica adicional: 6 varões de 3 metros e 8 varões de 2 metros, ambos de 28mm;  confeccionados em alumínio ou ferro, acompanhados de suportes para fixação na parede, ponteiras, parafusos, buchas e demais acessórios necessários, todos em tamanho compatível para a fixação dos suportes, em cor escura harmonizando com a cortina em cor escura. Aplicação: sala de gravação de mídias em módulo habitável (container).</w:t>
            </w:r>
          </w:p>
          <w:p w14:paraId="4E9C3DBF" w14:textId="77777777" w:rsidR="005D6B92" w:rsidRPr="00266D6D" w:rsidRDefault="005D6B92" w:rsidP="003308EC">
            <w:pPr>
              <w:adjustRightInd w:val="0"/>
              <w:jc w:val="both"/>
              <w:rPr>
                <w:rFonts w:ascii="Rawline-Regular" w:hAnsi="Rawline-Regular" w:cs="Rawline-Regular"/>
                <w:sz w:val="15"/>
                <w:szCs w:val="15"/>
              </w:rPr>
            </w:pPr>
          </w:p>
          <w:p w14:paraId="5AF9A3F3" w14:textId="77777777" w:rsidR="005D6B92" w:rsidRPr="00266D6D" w:rsidRDefault="005D6B92" w:rsidP="003308EC">
            <w:pPr>
              <w:adjustRightInd w:val="0"/>
              <w:rPr>
                <w:rFonts w:ascii="Rawline-Regular" w:hAnsi="Rawline-Regular" w:cs="Rawline-Regular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379C5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602683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341E6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 xml:space="preserve">Unidade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3EB65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A6F89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5BF8C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</w:p>
        </w:tc>
      </w:tr>
      <w:tr w:rsidR="005D6B92" w:rsidRPr="00266D6D" w14:paraId="1E1DC552" w14:textId="77777777" w:rsidTr="004B1438">
        <w:trPr>
          <w:trHeight w:hRule="exact" w:val="565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2EB64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jc w:val="center"/>
              <w:rPr>
                <w:rFonts w:ascii="Rawline-Regular" w:hAnsi="Rawline-Regular" w:cs="Rawline-Regular"/>
                <w:sz w:val="15"/>
                <w:szCs w:val="15"/>
              </w:rPr>
            </w:pPr>
            <w:r w:rsidRPr="00266D6D">
              <w:rPr>
                <w:rFonts w:ascii="Rawline-Regular" w:hAnsi="Rawline-Regular" w:cs="Rawline-Regular"/>
                <w:sz w:val="15"/>
                <w:szCs w:val="15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D6053" w14:textId="77777777" w:rsidR="005D6B92" w:rsidRPr="00266D6D" w:rsidRDefault="005D6B92" w:rsidP="003308EC">
            <w:pPr>
              <w:adjustRightInd w:val="0"/>
              <w:rPr>
                <w:rFonts w:ascii="Rawline-Regular" w:hAnsi="Rawline-Regular" w:cs="Rawline-Regular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539E1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2B87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4BC20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1E88D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3234B" w14:textId="77777777" w:rsidR="005D6B92" w:rsidRPr="00266D6D" w:rsidRDefault="005D6B92" w:rsidP="003308EC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15"/>
                <w:szCs w:val="15"/>
              </w:rPr>
            </w:pPr>
          </w:p>
        </w:tc>
      </w:tr>
    </w:tbl>
    <w:p w14:paraId="7727A2CB" w14:textId="77777777" w:rsidR="00034B2E" w:rsidRDefault="00034B2E"/>
    <w:p w14:paraId="469D34F1" w14:textId="77777777" w:rsidR="007C2CC3" w:rsidRDefault="007C2CC3"/>
    <w:tbl>
      <w:tblPr>
        <w:tblStyle w:val="TableNormal"/>
        <w:tblW w:w="976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611"/>
      </w:tblGrid>
      <w:tr w:rsidR="007C2CC3" w14:paraId="34835352" w14:textId="77777777" w:rsidTr="004B1438">
        <w:trPr>
          <w:trHeight w:val="439"/>
        </w:trPr>
        <w:tc>
          <w:tcPr>
            <w:tcW w:w="2150" w:type="dxa"/>
          </w:tcPr>
          <w:p w14:paraId="1804CA4F" w14:textId="77777777" w:rsidR="007C2CC3" w:rsidRDefault="007C2CC3" w:rsidP="00711A4A">
            <w:pPr>
              <w:pStyle w:val="TableParagraph"/>
              <w:spacing w:before="111"/>
              <w:ind w:left="9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Data</w:t>
            </w:r>
            <w:r w:rsidR="002265C6">
              <w:rPr>
                <w:spacing w:val="-2"/>
                <w:sz w:val="20"/>
              </w:rPr>
              <w:t>:</w:t>
            </w:r>
          </w:p>
        </w:tc>
        <w:tc>
          <w:tcPr>
            <w:tcW w:w="7611" w:type="dxa"/>
          </w:tcPr>
          <w:p w14:paraId="0AD1FA7D" w14:textId="77777777" w:rsidR="007C2CC3" w:rsidRDefault="007C2CC3" w:rsidP="00711A4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7C2CC3" w14:paraId="2E140625" w14:textId="77777777" w:rsidTr="004B1438">
        <w:trPr>
          <w:trHeight w:val="439"/>
        </w:trPr>
        <w:tc>
          <w:tcPr>
            <w:tcW w:w="2150" w:type="dxa"/>
          </w:tcPr>
          <w:p w14:paraId="2D203653" w14:textId="77777777" w:rsidR="007C2CC3" w:rsidRDefault="007C2CC3" w:rsidP="00711A4A">
            <w:pPr>
              <w:pStyle w:val="TableParagraph"/>
              <w:spacing w:before="111"/>
              <w:ind w:left="9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Identificação e Assinatura</w:t>
            </w:r>
            <w:r w:rsidR="002265C6">
              <w:rPr>
                <w:spacing w:val="-2"/>
                <w:sz w:val="20"/>
              </w:rPr>
              <w:t>:</w:t>
            </w:r>
          </w:p>
          <w:p w14:paraId="47D0D735" w14:textId="77777777" w:rsidR="002265C6" w:rsidRDefault="002265C6" w:rsidP="00711A4A">
            <w:pPr>
              <w:pStyle w:val="TableParagraph"/>
              <w:spacing w:before="111"/>
              <w:ind w:left="95"/>
              <w:rPr>
                <w:spacing w:val="-2"/>
                <w:sz w:val="20"/>
              </w:rPr>
            </w:pPr>
          </w:p>
        </w:tc>
        <w:tc>
          <w:tcPr>
            <w:tcW w:w="7611" w:type="dxa"/>
          </w:tcPr>
          <w:p w14:paraId="31DCE9EA" w14:textId="77777777" w:rsidR="007C2CC3" w:rsidRDefault="007C2CC3" w:rsidP="00711A4A">
            <w:pPr>
              <w:pStyle w:val="TableParagraph"/>
              <w:rPr>
                <w:rFonts w:ascii="Times New Roman"/>
                <w:sz w:val="20"/>
              </w:rPr>
            </w:pPr>
          </w:p>
          <w:p w14:paraId="030691CD" w14:textId="77777777" w:rsidR="002265C6" w:rsidRDefault="002265C6" w:rsidP="00711A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3C7469" w14:textId="77777777" w:rsidR="007C2CC3" w:rsidRDefault="007C2CC3"/>
    <w:sectPr w:rsidR="007C2CC3">
      <w:headerReference w:type="default" r:id="rId6"/>
      <w:type w:val="continuous"/>
      <w:pgSz w:w="11920" w:h="16840"/>
      <w:pgMar w:top="2000" w:right="1133" w:bottom="280" w:left="1559" w:header="71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E97C7" w14:textId="77777777" w:rsidR="00823357" w:rsidRDefault="00823357">
      <w:r>
        <w:separator/>
      </w:r>
    </w:p>
  </w:endnote>
  <w:endnote w:type="continuationSeparator" w:id="0">
    <w:p w14:paraId="5AD85020" w14:textId="77777777" w:rsidR="00823357" w:rsidRDefault="008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wlin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98DB1" w14:textId="77777777" w:rsidR="00823357" w:rsidRDefault="00823357">
      <w:r>
        <w:separator/>
      </w:r>
    </w:p>
  </w:footnote>
  <w:footnote w:type="continuationSeparator" w:id="0">
    <w:p w14:paraId="327139B4" w14:textId="77777777" w:rsidR="00823357" w:rsidRDefault="00823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111C" w14:textId="77777777" w:rsidR="001F3D7C" w:rsidRDefault="00445F86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743F9295" wp14:editId="45E747DA">
              <wp:simplePos x="0" y="0"/>
              <wp:positionH relativeFrom="page">
                <wp:posOffset>5320262</wp:posOffset>
              </wp:positionH>
              <wp:positionV relativeFrom="page">
                <wp:posOffset>441669</wp:posOffset>
              </wp:positionV>
              <wp:extent cx="153289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28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C5B6C" w14:textId="77777777" w:rsidR="001F3D7C" w:rsidRDefault="00445F86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MODELO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PROPOSTA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F929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8.9pt;margin-top:34.8pt;width:120.7pt;height:13.2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" filled="f" stroked="f">
              <v:textbox inset="0,0,0,0">
                <w:txbxContent>
                  <w:p w14:paraId="54BC5B6C" w14:textId="77777777" w:rsidR="001F3D7C" w:rsidRDefault="00445F86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MODELO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PROPOSTA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7C"/>
    <w:rsid w:val="00034B2E"/>
    <w:rsid w:val="001F3D7C"/>
    <w:rsid w:val="002265C6"/>
    <w:rsid w:val="00445F86"/>
    <w:rsid w:val="004B1438"/>
    <w:rsid w:val="005D6B92"/>
    <w:rsid w:val="007C2CC3"/>
    <w:rsid w:val="00823357"/>
    <w:rsid w:val="00AC157A"/>
    <w:rsid w:val="00B710BF"/>
    <w:rsid w:val="00E3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4641"/>
  <w15:docId w15:val="{358CDC31-E3CB-4AC0-BD30-D167A6F8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D6B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B92"/>
    <w:rPr>
      <w:rFonts w:ascii="Segoe UI" w:eastAsia="Arial MT" w:hAnsi="Segoe UI" w:cs="Segoe UI"/>
      <w:sz w:val="18"/>
      <w:szCs w:val="18"/>
      <w:lang w:val="pt-PT"/>
    </w:rPr>
  </w:style>
  <w:style w:type="character" w:styleId="Hyperlink">
    <w:name w:val="Hyperlink"/>
    <w:rsid w:val="005D6B92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5D6B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D6B92"/>
    <w:pPr>
      <w:widowControl/>
      <w:autoSpaceDE/>
      <w:autoSpaceDN/>
    </w:pPr>
    <w:rPr>
      <w:rFonts w:ascii="Ecofont_Spranq_eco_Sans" w:eastAsiaTheme="minorEastAsia" w:hAnsi="Ecofont_Spranq_eco_Sans" w:cs="Tahoma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D6B92"/>
    <w:rPr>
      <w:rFonts w:ascii="Ecofont_Spranq_eco_Sans" w:eastAsiaTheme="minorEastAsia" w:hAnsi="Ecofont_Spranq_eco_Sans" w:cs="Tahoma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Anexo IV - Modelo de proposta.docx</dc:title>
  <dc:creator>80925</dc:creator>
  <cp:lastModifiedBy>ANA ELISA DE CARVALHO MONTELO</cp:lastModifiedBy>
  <cp:revision>6</cp:revision>
  <cp:lastPrinted>2025-09-15T16:24:00Z</cp:lastPrinted>
  <dcterms:created xsi:type="dcterms:W3CDTF">2025-09-15T16:18:00Z</dcterms:created>
  <dcterms:modified xsi:type="dcterms:W3CDTF">2025-09-15T16:26:00Z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2025-08-28T00:00:00Z</vt:filetime>
  </property>
</Properties>
</file>